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EB7" w:rsidRPr="00B239AF" w:rsidRDefault="00587738" w:rsidP="00B239AF">
      <w:pPr>
        <w:rPr>
          <w:b/>
          <w:sz w:val="22"/>
          <w:szCs w:val="22"/>
        </w:rPr>
      </w:pPr>
      <w:r w:rsidRPr="00B239AF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</w:p>
    <w:p w:rsidR="00B01A57" w:rsidRPr="00B239AF" w:rsidRDefault="00B01A57" w:rsidP="00B239AF">
      <w:pPr>
        <w:ind w:firstLine="851"/>
        <w:jc w:val="right"/>
        <w:rPr>
          <w:rFonts w:ascii="Segoe UI" w:hAnsi="Segoe UI" w:cs="Segoe UI"/>
          <w:b/>
          <w:color w:val="00B0F0"/>
          <w:sz w:val="22"/>
          <w:szCs w:val="22"/>
        </w:rPr>
      </w:pPr>
      <w:r w:rsidRPr="00B239AF">
        <w:rPr>
          <w:rFonts w:ascii="Segoe UI" w:hAnsi="Segoe UI" w:cs="Segoe UI"/>
          <w:b/>
          <w:color w:val="00B0F0"/>
          <w:sz w:val="22"/>
          <w:szCs w:val="22"/>
        </w:rPr>
        <w:t>НСПД</w:t>
      </w:r>
    </w:p>
    <w:p w:rsidR="0037011A" w:rsidRPr="00B239AF" w:rsidRDefault="002D1AFD" w:rsidP="00B239AF">
      <w:pPr>
        <w:ind w:firstLine="851"/>
        <w:jc w:val="center"/>
        <w:rPr>
          <w:rFonts w:ascii="Segoe UI" w:hAnsi="Segoe UI" w:cs="Segoe UI"/>
          <w:b/>
          <w:sz w:val="22"/>
          <w:szCs w:val="22"/>
        </w:rPr>
      </w:pPr>
      <w:r w:rsidRPr="00B239AF">
        <w:rPr>
          <w:rFonts w:ascii="Segoe UI" w:hAnsi="Segoe UI" w:cs="Segoe UI"/>
          <w:b/>
          <w:sz w:val="22"/>
          <w:szCs w:val="22"/>
        </w:rPr>
        <w:t>В городе Карасук состоялась рабочая встреча новосибирского Росреестра с представителями администраций Кара</w:t>
      </w:r>
      <w:r w:rsidR="00D326F7" w:rsidRPr="00B239AF">
        <w:rPr>
          <w:rFonts w:ascii="Segoe UI" w:hAnsi="Segoe UI" w:cs="Segoe UI"/>
          <w:b/>
          <w:sz w:val="22"/>
          <w:szCs w:val="22"/>
        </w:rPr>
        <w:t>с</w:t>
      </w:r>
      <w:r w:rsidRPr="00B239AF">
        <w:rPr>
          <w:rFonts w:ascii="Segoe UI" w:hAnsi="Segoe UI" w:cs="Segoe UI"/>
          <w:b/>
          <w:sz w:val="22"/>
          <w:szCs w:val="22"/>
        </w:rPr>
        <w:t xml:space="preserve">укского муниципального округа, </w:t>
      </w:r>
      <w:proofErr w:type="spellStart"/>
      <w:r w:rsidRPr="00B239AF">
        <w:rPr>
          <w:rFonts w:ascii="Segoe UI" w:hAnsi="Segoe UI" w:cs="Segoe UI"/>
          <w:b/>
          <w:sz w:val="22"/>
          <w:szCs w:val="22"/>
        </w:rPr>
        <w:t>Баганского</w:t>
      </w:r>
      <w:proofErr w:type="spellEnd"/>
      <w:r w:rsidRPr="00B239AF">
        <w:rPr>
          <w:rFonts w:ascii="Segoe UI" w:hAnsi="Segoe UI" w:cs="Segoe UI"/>
          <w:b/>
          <w:sz w:val="22"/>
          <w:szCs w:val="22"/>
        </w:rPr>
        <w:t xml:space="preserve">, </w:t>
      </w:r>
      <w:proofErr w:type="spellStart"/>
      <w:r w:rsidRPr="00B239AF">
        <w:rPr>
          <w:rFonts w:ascii="Segoe UI" w:hAnsi="Segoe UI" w:cs="Segoe UI"/>
          <w:b/>
          <w:sz w:val="22"/>
          <w:szCs w:val="22"/>
        </w:rPr>
        <w:t>Купинского</w:t>
      </w:r>
      <w:proofErr w:type="spellEnd"/>
      <w:r w:rsidRPr="00B239AF">
        <w:rPr>
          <w:rFonts w:ascii="Segoe UI" w:hAnsi="Segoe UI" w:cs="Segoe UI"/>
          <w:b/>
          <w:sz w:val="22"/>
          <w:szCs w:val="22"/>
        </w:rPr>
        <w:t xml:space="preserve"> и Чистоозерного районов Новосибирской области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На минувшей неделе состоялось очередное рабочее совещание в рамках цикла выездных встреч с органами местного самоуправления. Представители администраций и региональный Росреестр обсудили вопросы наполнения Единого государственного реестра недвижимости (ЕГРН) необходимыми сведениями, в том числе результаты работы районов по выявлению правообладателей ранее учтенных объектов недвижимости, установлению границ земельных участков, границ населенных пунктов и территориальных зон, проведению комплексных кадастровых работ, по регистрации объектов муниципальной собственности и проведению муниципального земельного контроля. 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В Карасукском муниципальном округе отмечена высокая результативность выполнения работ по выявлению правообладателей ранее учтенных объектов недвижимости – 92,2%, положительные результаты в части внесения в ЕГРН границ населенных пунктов (98,3%) и территориальных зон (82,1%). В округе установлено и внесено в ЕГРН более половины (51%) границ земельных участков.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В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Баганском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районе результативность работы по выявлению правообладателей составила 85,5%. В ЕГРН внесены сведения о границах 85% населенных пунктов, 39,5% территориальных зон. Актуальным остается вопрос установления границ земельных участков, на данный момент в ЕГРН внесены 33% границ земельных участков.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В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Купинском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районе отмечена наибольшая результативность работы по выявлению правообладателей - 100%. В ЕГРН внесены сведения о границах 87% населенных пунктов, 35,9% территориальных зон. Продолжаются работы по установлению границ земельных участков (39%).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В Чистоозерном районе отмечена высокая результативность работы по выявлению правообладателей - 90,3%, а также положительная динамика по установлению границ земельных участков – 83%, это связано с тем, что на территории района в 2023 году были проведены комплексные кадастровые работы. В ЕГРН внесены сведения о границах 70,5% населенных пунктов. Актуальным остается вопрос о внесении в ЕГРН сведений о границах территориальных зон.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На территориях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Купинского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и Чистоозерного районах Новосибирской области завершены работы по регистрации региональной и муниципальной собственности. 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i/>
          <w:color w:val="auto"/>
          <w:sz w:val="22"/>
          <w:szCs w:val="22"/>
          <w:lang w:eastAsia="ru-RU" w:bidi="ar-SA"/>
        </w:rPr>
        <w:t>«Общие задачи, которые возникают в связи с изменением законодательства, требуется решать совместно. Анализ результатов работы по формированию полных и точных сведений о недвижимости, расположенных в конкретных муниципальных образованиях, помогает найти эффективные решения достижения поставленных целей»</w:t>
      </w: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- отметил </w:t>
      </w:r>
      <w:r w:rsidRPr="00B239AF">
        <w:rPr>
          <w:rFonts w:ascii="Segoe UI" w:eastAsia="Times New Roman" w:hAnsi="Segoe UI" w:cs="Segoe UI"/>
          <w:b/>
          <w:color w:val="auto"/>
          <w:sz w:val="22"/>
          <w:szCs w:val="22"/>
          <w:lang w:eastAsia="ru-RU" w:bidi="ar-SA"/>
        </w:rPr>
        <w:t>Иван Пархоменко</w:t>
      </w: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, заместитель руководителя Управления Росреестра по Новосибирской области.</w:t>
      </w:r>
    </w:p>
    <w:p w:rsidR="002D1AFD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По итогу встречи перед органами местного самоуправления поставлены задачи по наполнению ЕГРН сведениями о границах, даны рекомендации по продолжению регистрации прав на объекты недвижимости муниципальной собственности, по расширению практики проведения среди землепользователей контрольных (надзорных) и профилактических мероприятий по соблюдению требований земельного законодательства.</w:t>
      </w:r>
    </w:p>
    <w:p w:rsidR="00AE17AC" w:rsidRPr="00B239AF" w:rsidRDefault="002D1AFD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i/>
          <w:color w:val="auto"/>
          <w:sz w:val="22"/>
          <w:szCs w:val="22"/>
          <w:lang w:eastAsia="ru-RU" w:bidi="ar-SA"/>
        </w:rPr>
        <w:t>«Такие встречи важны, позволяют обсудить важные вопросы в сфере недвижимости, познакомиться с изменениями в законодательстве, получить ответы на назревшие вопросы, увидеть и оценить деятельность районов в реальных цифрах»</w:t>
      </w: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- подвел итог встречи </w:t>
      </w:r>
      <w:r w:rsidRPr="00B239AF">
        <w:rPr>
          <w:rFonts w:ascii="Segoe UI" w:eastAsia="Times New Roman" w:hAnsi="Segoe UI" w:cs="Segoe UI"/>
          <w:b/>
          <w:color w:val="auto"/>
          <w:sz w:val="22"/>
          <w:szCs w:val="22"/>
          <w:lang w:eastAsia="ru-RU" w:bidi="ar-SA"/>
        </w:rPr>
        <w:t>Вячеслав Кулаков</w:t>
      </w: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, глава Карасукского муниципального округа.</w:t>
      </w:r>
    </w:p>
    <w:p w:rsidR="00587738" w:rsidRPr="00B239AF" w:rsidRDefault="00587738" w:rsidP="00B239AF">
      <w:pPr>
        <w:ind w:firstLine="851"/>
        <w:jc w:val="center"/>
        <w:rPr>
          <w:rFonts w:ascii="Segoe UI" w:hAnsi="Segoe UI" w:cs="Segoe UI"/>
          <w:b/>
          <w:sz w:val="22"/>
          <w:szCs w:val="22"/>
        </w:rPr>
      </w:pPr>
      <w:r w:rsidRPr="00B239AF">
        <w:rPr>
          <w:rFonts w:ascii="Segoe UI" w:hAnsi="Segoe UI" w:cs="Segoe UI"/>
          <w:b/>
          <w:sz w:val="22"/>
          <w:szCs w:val="22"/>
        </w:rPr>
        <w:lastRenderedPageBreak/>
        <w:t>Оформление земельных участков участниками СВО и членами семей участников СВО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На территории Новосибирской области действуют новые меры поддержки участников специальной военной операции. Предоставлено право на внеочередное бесплатное получение земельных участков: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- военнослужащим, 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- лицам, проходящим службу в войсках национальной гвардии Российской Федерации, 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- добровольцам, удостоенным званиями Героя России или награжденными орденами Российской Федерации за заслуги, проявленные в ходе участия в специальной военной операции, и одновременно являющимися ветеранами боевых действий. 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Такие же права предоставляются членам семей погибших из числа отмеченных государством за особые заслуги участников специальной военной операции.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Для указанных лиц исключено требование о постоянном проживании на территории Новосибирской области при получении земельного участка в собственность.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Земельные участки для данной категории граждан предоставляются местными администрациями как для индивидуального жилищного строительства, так и ведения садоводства и огородничества, личного подсобного хозяйства. Взамен земельного участка для индивидуального жилищного строительства можно получить единовременную денежную выплату в размере 331 тыс. рублей.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Новосибирским Росреестром организовано рассмотрение обращений участников специальной военной операции и членов их семей в приоритетном порядке и в минимально короткие сроки. 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При оформлении прав на земельные участки указанные лица освобождены от уплаты государственной пошлины за государственную регистрацию права собственности.</w:t>
      </w:r>
    </w:p>
    <w:p w:rsidR="00587738" w:rsidRPr="00B239AF" w:rsidRDefault="00587738" w:rsidP="00B239AF">
      <w:pPr>
        <w:jc w:val="center"/>
        <w:rPr>
          <w:rFonts w:ascii="Segoe UI" w:hAnsi="Segoe UI" w:cs="Segoe UI"/>
          <w:b/>
          <w:sz w:val="22"/>
          <w:szCs w:val="22"/>
        </w:rPr>
      </w:pPr>
      <w:r w:rsidRPr="00B239AF">
        <w:rPr>
          <w:rFonts w:ascii="Segoe UI" w:hAnsi="Segoe UI" w:cs="Segoe UI"/>
          <w:b/>
          <w:sz w:val="22"/>
          <w:szCs w:val="22"/>
        </w:rPr>
        <w:t>Границы всех муниципальных образований Новосибирской области содержатся в ЕГРН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В Новосибирской области продолжается наполнение Единого государственного реестра недвижимости (ЕГРН) необходимыми сведениями.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Сегодня ЕГРН содержит сведения о границах всех муниципальных образований региона (100%).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История становления Новосибирской области насчитывает более века.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До 1921 года территория нашей области считалась частью Томской губернии, а 100 лет назад - 25 мая 1925 года, 100 лет назад, президиум ВЦИК утвердил постановление об образовании Сибирского края с центром в Новониколаевске (ныне Новосибирск). В состав края вошли Омская, Новониколаевская, Алтайская, Томская, Енисейская, Иркутская губернии и автономная область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Ойротия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(ныне Республика Алтай). Были образованы 24 района современной Новосибирской области: Барабинский,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Болотнинский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Венгеровский,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Доволенский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Здвинский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Карасукский,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Каргатский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Колыванский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Коченевский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Кочковский,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Краснозерский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Купинский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Кыштовский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Маслянинский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Мошковский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Ордынский, Сузунский, Татарский,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Убинский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Усть-Таркский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Чановский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Черепановский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Чистоозерный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Чулымский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Административная реформа продолжается и в настоящее время. В 2024 году Карасукский,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Маслянинский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 и Татарский районы преобразованы в муниципальные округа, в апреле 2025 года муниципальными округами стали еще шесть районов: Венгеровский,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Доволенский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Северный, Сузунский,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Убинский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 xml:space="preserve">, </w:t>
      </w:r>
      <w:proofErr w:type="spellStart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Чановский</w:t>
      </w:r>
      <w:proofErr w:type="spellEnd"/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.</w:t>
      </w:r>
    </w:p>
    <w:p w:rsidR="00587738" w:rsidRPr="00B239AF" w:rsidRDefault="00587738" w:rsidP="00B239AF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</w:pPr>
      <w:r w:rsidRPr="00B239AF">
        <w:rPr>
          <w:rFonts w:ascii="Segoe UI" w:eastAsia="Times New Roman" w:hAnsi="Segoe UI" w:cs="Segoe UI"/>
          <w:color w:val="auto"/>
          <w:sz w:val="22"/>
          <w:szCs w:val="22"/>
          <w:lang w:eastAsia="ru-RU" w:bidi="ar-SA"/>
        </w:rPr>
        <w:t>Сведения о таких преобразованиях, уточнениях границ фиксируются в ЕГРН.</w:t>
      </w:r>
    </w:p>
    <w:p w:rsidR="00587738" w:rsidRPr="00B239AF" w:rsidRDefault="00587738" w:rsidP="00B239AF">
      <w:pPr>
        <w:jc w:val="center"/>
        <w:rPr>
          <w:rFonts w:ascii="Segoe UI" w:hAnsi="Segoe UI" w:cs="Segoe UI"/>
          <w:b/>
          <w:sz w:val="22"/>
          <w:szCs w:val="22"/>
        </w:rPr>
      </w:pPr>
      <w:r w:rsidRPr="00B239AF">
        <w:rPr>
          <w:rFonts w:ascii="Segoe UI" w:hAnsi="Segoe UI" w:cs="Segoe UI"/>
          <w:b/>
          <w:sz w:val="22"/>
          <w:szCs w:val="22"/>
        </w:rPr>
        <w:t>Сибирский федеральный округ – в тройке лидеров по площади выявленных территорий для жилищного строительства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Правительство проводит системную работу по устойчивому развитию территорий. В том числе на эффективное вовлечение в оборот неиспользуемых земельных участков направлен проект Росреестра «Земля для стройки». Почти за четыре года с начала реализации этого проекта выявлено более 137 тыс. участков и территорий общей </w:t>
      </w:r>
      <w:r w:rsidRPr="00B239AF">
        <w:rPr>
          <w:rFonts w:ascii="Segoe UI" w:hAnsi="Segoe UI" w:cs="Segoe UI"/>
          <w:sz w:val="22"/>
          <w:szCs w:val="22"/>
        </w:rPr>
        <w:lastRenderedPageBreak/>
        <w:t xml:space="preserve">площадью около 182,7 тыс. га, которые можно использовать для жилищного строительства. 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В тройку лидеров по площади выявленных территорий традиционно вошёл Сибирский федеральный округ – здесь зафиксировано 11,4 тыс. участков площадью 25,8 тыс. га.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i/>
          <w:sz w:val="22"/>
          <w:szCs w:val="22"/>
        </w:rPr>
        <w:t>«Совместно с регионами Росреестр продолжает развивать проект «Земля для стройки», увеличивая количество участников и территорий, которые можно эффективно задействовать для улучшения жилищных условий россиян. Из общего объёма выявленных земель для многоквартирной застройки можно использовать 14,9 тыс. участков площадью 57,9 тыс. га, а для индивидуального жилищного строительства – 122,3 тыс. участков площадью 124,8 тыс. га. Только за январь – апрель 2025 года выявлено 12,1 тыс. участков и территорий общей площадью 6,8 тыс. га. С начала действия проекта в оборот уже вовлечены 41,6 тыс. участков площадью 25,6 тыс. га, из них 1,4 тыс. га – в этом году»,</w:t>
      </w:r>
      <w:r w:rsidRPr="00B239AF">
        <w:rPr>
          <w:rFonts w:ascii="Segoe UI" w:hAnsi="Segoe UI" w:cs="Segoe UI"/>
          <w:sz w:val="22"/>
          <w:szCs w:val="22"/>
        </w:rPr>
        <w:t> – сообщил Заместитель Председателя Правительства </w:t>
      </w:r>
      <w:r w:rsidRPr="00B239AF">
        <w:rPr>
          <w:rFonts w:ascii="Segoe UI" w:hAnsi="Segoe UI" w:cs="Segoe UI"/>
          <w:b/>
          <w:bCs/>
          <w:sz w:val="22"/>
          <w:szCs w:val="22"/>
        </w:rPr>
        <w:t xml:space="preserve">Марат </w:t>
      </w:r>
      <w:proofErr w:type="spellStart"/>
      <w:r w:rsidRPr="00B239AF">
        <w:rPr>
          <w:rFonts w:ascii="Segoe UI" w:hAnsi="Segoe UI" w:cs="Segoe UI"/>
          <w:b/>
          <w:bCs/>
          <w:sz w:val="22"/>
          <w:szCs w:val="22"/>
        </w:rPr>
        <w:t>Хуснуллин</w:t>
      </w:r>
      <w:proofErr w:type="spellEnd"/>
      <w:r w:rsidRPr="00B239AF">
        <w:rPr>
          <w:rFonts w:ascii="Segoe UI" w:hAnsi="Segoe UI" w:cs="Segoe UI"/>
          <w:sz w:val="22"/>
          <w:szCs w:val="22"/>
        </w:rPr>
        <w:t>. 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Лидерами по количеству и площади выявленных участков стали Приволжский и Центральный федеральные округа. Здесь зафиксировано 30 тыс. участков площадью более 40 тыс. га и 21,8 тыс. площадью 33,6 тыс. га соответственно. Это 40% от общей площади всех земель, выявленных в рамках проекта.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Среди регионов лучшие показатели у Краснодарского края (1,5 тыс. участков площадью 9,3 тыс. га), Московской (2,5 тыс. участков площадью 9,2 тыс. га) и Свердловской областей (4,8 тыс. участков площадью 8,1 тыс. га).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В Новосибирской области выявлено 493 участка, свободных для жилищного строительства, общей площадью 2,7 тыс. га.</w:t>
      </w:r>
    </w:p>
    <w:p w:rsidR="00587738" w:rsidRPr="00B239AF" w:rsidRDefault="00587738" w:rsidP="00B239AF">
      <w:pPr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В оборот под жилищное строительство вовлечено 114 земельных участков общей площадью более 337 га. Одним из крупных проектов, реализуемых на выявленных земельных участках, является микрорайон Клюквенный площадью 200 га – это флагманский проект развития северной части города Новосибирска. </w:t>
      </w:r>
    </w:p>
    <w:p w:rsidR="00587738" w:rsidRPr="00B239AF" w:rsidRDefault="00587738" w:rsidP="00B239AF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</w:rPr>
      </w:pPr>
      <w:r w:rsidRPr="00B239AF">
        <w:rPr>
          <w:rFonts w:ascii="Calibri" w:hAnsi="Calibri"/>
          <w:b/>
          <w:sz w:val="22"/>
          <w:szCs w:val="22"/>
        </w:rPr>
        <w:t>Недвижимое имущество: часто задаваемые вопросы</w:t>
      </w:r>
    </w:p>
    <w:p w:rsidR="00587738" w:rsidRPr="00B239AF" w:rsidRDefault="00587738" w:rsidP="00B239A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B239AF">
        <w:rPr>
          <w:rFonts w:ascii="Calibri" w:hAnsi="Calibri"/>
          <w:sz w:val="22"/>
          <w:szCs w:val="22"/>
        </w:rPr>
        <w:t>На вопросы отвечают специалисты Управления Росреестра по Новосибирской области.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 w:rsidRPr="00B239A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Какие объекты относятся к недвижимому имуществу?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kern w:val="24"/>
          <w:sz w:val="22"/>
          <w:szCs w:val="22"/>
        </w:rPr>
      </w:pPr>
      <w:r w:rsidRPr="00B239AF">
        <w:rPr>
          <w:rFonts w:ascii="Calibri" w:eastAsia="+mn-ea" w:hAnsi="Calibri"/>
          <w:bCs/>
          <w:kern w:val="24"/>
          <w:sz w:val="22"/>
          <w:szCs w:val="22"/>
        </w:rPr>
        <w:t>К недвижимым вещам (недвижимое имущество, недвижимость)</w:t>
      </w:r>
      <w:r w:rsidRPr="00B239AF">
        <w:rPr>
          <w:rFonts w:ascii="Calibri" w:eastAsia="+mn-ea" w:hAnsi="Calibri"/>
          <w:b/>
          <w:bCs/>
          <w:color w:val="007CFF"/>
          <w:kern w:val="24"/>
          <w:sz w:val="22"/>
          <w:szCs w:val="22"/>
        </w:rPr>
        <w:t xml:space="preserve"> </w:t>
      </w:r>
      <w:r w:rsidRPr="00B239AF">
        <w:rPr>
          <w:rFonts w:ascii="Calibri" w:eastAsia="+mn-ea" w:hAnsi="Calibri"/>
          <w:color w:val="000000"/>
          <w:kern w:val="24"/>
          <w:sz w:val="22"/>
          <w:szCs w:val="22"/>
        </w:rPr>
        <w:t>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</w:t>
      </w:r>
      <w:r w:rsidRPr="00B239AF">
        <w:rPr>
          <w:rFonts w:ascii="Calibri" w:eastAsia="+mn-ea" w:hAnsi="Calibri"/>
          <w:kern w:val="24"/>
          <w:sz w:val="22"/>
          <w:szCs w:val="22"/>
        </w:rPr>
        <w:t xml:space="preserve">. 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b/>
          <w:kern w:val="24"/>
          <w:sz w:val="22"/>
          <w:szCs w:val="22"/>
        </w:rPr>
      </w:pPr>
      <w:r w:rsidRPr="00B239AF">
        <w:rPr>
          <w:rFonts w:ascii="Calibri" w:eastAsia="+mn-ea" w:hAnsi="Calibri"/>
          <w:b/>
          <w:kern w:val="24"/>
          <w:sz w:val="22"/>
          <w:szCs w:val="22"/>
        </w:rPr>
        <w:t>Являются ли помещения недвижимым имуществом?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color w:val="000000"/>
          <w:kern w:val="24"/>
          <w:sz w:val="22"/>
          <w:szCs w:val="22"/>
        </w:rPr>
      </w:pPr>
      <w:r w:rsidRPr="00B239AF">
        <w:rPr>
          <w:rFonts w:ascii="Calibri" w:eastAsia="+mn-ea" w:hAnsi="Calibri"/>
          <w:color w:val="000000"/>
          <w:kern w:val="24"/>
          <w:sz w:val="22"/>
          <w:szCs w:val="22"/>
        </w:rPr>
        <w:t>К недвижимым вещам относятся жилые помещения (жилой дом, часть жилого дома, квартира, часть квартиры, комната) и нежилые помещения, а также предназначенные для размещения транспортных средств части зданий или сооружений (</w:t>
      </w:r>
      <w:proofErr w:type="spellStart"/>
      <w:r w:rsidRPr="00B239AF">
        <w:rPr>
          <w:rFonts w:ascii="Calibri" w:eastAsia="+mn-ea" w:hAnsi="Calibri"/>
          <w:color w:val="000000"/>
          <w:kern w:val="24"/>
          <w:sz w:val="22"/>
          <w:szCs w:val="22"/>
        </w:rPr>
        <w:t>машино</w:t>
      </w:r>
      <w:proofErr w:type="spellEnd"/>
      <w:r w:rsidRPr="00B239AF">
        <w:rPr>
          <w:rFonts w:ascii="Calibri" w:eastAsia="+mn-ea" w:hAnsi="Calibri"/>
          <w:color w:val="000000"/>
          <w:kern w:val="24"/>
          <w:sz w:val="22"/>
          <w:szCs w:val="22"/>
        </w:rPr>
        <w:t>-места).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b/>
          <w:kern w:val="24"/>
          <w:sz w:val="22"/>
          <w:szCs w:val="22"/>
        </w:rPr>
      </w:pPr>
      <w:r w:rsidRPr="00B239AF">
        <w:rPr>
          <w:rFonts w:ascii="Calibri" w:eastAsia="+mn-ea" w:hAnsi="Calibri"/>
          <w:b/>
          <w:kern w:val="24"/>
          <w:sz w:val="22"/>
          <w:szCs w:val="22"/>
        </w:rPr>
        <w:t>Киоски и навесы относятся к недвижимому имуществу?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b/>
          <w:kern w:val="24"/>
          <w:sz w:val="22"/>
          <w:szCs w:val="22"/>
        </w:rPr>
      </w:pPr>
      <w:r w:rsidRPr="00B239AF">
        <w:rPr>
          <w:rFonts w:ascii="Calibri" w:eastAsia="+mn-ea" w:hAnsi="Calibri"/>
          <w:kern w:val="24"/>
          <w:sz w:val="22"/>
          <w:szCs w:val="22"/>
        </w:rPr>
        <w:t xml:space="preserve">Нет, не относятся. Киоски, навесы являются нестационарными объектами, так как </w:t>
      </w:r>
      <w:r w:rsidRPr="00B239AF">
        <w:rPr>
          <w:rFonts w:ascii="Calibri" w:hAnsi="Calibri"/>
          <w:sz w:val="22"/>
          <w:szCs w:val="22"/>
          <w:shd w:val="clear" w:color="auto" w:fill="FFFFFF"/>
        </w:rPr>
        <w:t>не имеют прочной связи с землей. Конструктивные характеристики таких объектов позволяют демонтировать, перемещать и затем собирать их без несоразмерного ущерба назначению.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b/>
          <w:kern w:val="24"/>
          <w:sz w:val="22"/>
          <w:szCs w:val="22"/>
        </w:rPr>
      </w:pPr>
      <w:r w:rsidRPr="00B239AF">
        <w:rPr>
          <w:rFonts w:ascii="Calibri" w:eastAsia="+mn-ea" w:hAnsi="Calibri"/>
          <w:b/>
          <w:kern w:val="24"/>
          <w:sz w:val="22"/>
          <w:szCs w:val="22"/>
        </w:rPr>
        <w:t>Можно ли отнести газопроводы, водопроводные системы, электрические линии к недвижимому имуществу?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kern w:val="24"/>
          <w:sz w:val="22"/>
          <w:szCs w:val="22"/>
        </w:rPr>
      </w:pPr>
      <w:r w:rsidRPr="00B239AF">
        <w:rPr>
          <w:rFonts w:ascii="Calibri" w:eastAsia="+mn-ea" w:hAnsi="Calibri"/>
          <w:kern w:val="24"/>
          <w:sz w:val="22"/>
          <w:szCs w:val="22"/>
        </w:rPr>
        <w:t xml:space="preserve">Такие объекты являются недвижимым имуществом, если имеют признаки линейных сооружений. 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kern w:val="24"/>
          <w:sz w:val="22"/>
          <w:szCs w:val="22"/>
        </w:rPr>
      </w:pPr>
      <w:r w:rsidRPr="00B239AF">
        <w:rPr>
          <w:rFonts w:ascii="Calibri" w:eastAsia="+mn-ea" w:hAnsi="Calibri"/>
          <w:kern w:val="24"/>
          <w:sz w:val="22"/>
          <w:szCs w:val="22"/>
        </w:rPr>
        <w:t>Определить, является ли объект недвижимым имуществом, может кадастровый инженер, с учетом проектной документации на такие сооружения.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850"/>
        <w:jc w:val="both"/>
        <w:rPr>
          <w:rFonts w:ascii="Calibri" w:eastAsia="+mn-ea" w:hAnsi="Calibri"/>
          <w:kern w:val="24"/>
          <w:sz w:val="22"/>
          <w:szCs w:val="22"/>
        </w:rPr>
      </w:pPr>
      <w:r w:rsidRPr="00B239AF">
        <w:rPr>
          <w:rFonts w:ascii="Calibri" w:hAnsi="Calibri"/>
          <w:color w:val="000000"/>
          <w:sz w:val="22"/>
          <w:szCs w:val="22"/>
          <w:shd w:val="clear" w:color="auto" w:fill="FFFFFF"/>
        </w:rPr>
        <w:t>Права на недвижимое имущество подлежат государственной регистрации.</w:t>
      </w:r>
    </w:p>
    <w:p w:rsidR="00587738" w:rsidRPr="00B239AF" w:rsidRDefault="00587738" w:rsidP="00B239AF">
      <w:pPr>
        <w:pStyle w:val="afd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B239AF">
        <w:rPr>
          <w:rFonts w:ascii="Segoe UI" w:eastAsia="Arial" w:hAnsi="Segoe UI" w:cs="Segoe UI"/>
          <w:b/>
          <w:noProof/>
          <w:sz w:val="22"/>
          <w:szCs w:val="22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lastRenderedPageBreak/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</w:t>
      </w:r>
      <w:proofErr w:type="gramStart"/>
      <w:r w:rsidRPr="00B239AF">
        <w:rPr>
          <w:rFonts w:ascii="Segoe UI" w:hAnsi="Segoe UI" w:cs="Segoe UI"/>
          <w:sz w:val="22"/>
          <w:szCs w:val="22"/>
        </w:rPr>
        <w:t>травы  и</w:t>
      </w:r>
      <w:proofErr w:type="gramEnd"/>
      <w:r w:rsidRPr="00B239AF">
        <w:rPr>
          <w:rFonts w:ascii="Segoe UI" w:hAnsi="Segoe UI" w:cs="Segoe UI"/>
          <w:sz w:val="22"/>
          <w:szCs w:val="22"/>
        </w:rPr>
        <w:t xml:space="preserve"> предупреждает землепользователей: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- на Единый телефон экстренных служб – 112;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- в Пожарно-спасательную службу МЧС России – 101;</w:t>
      </w:r>
    </w:p>
    <w:p w:rsidR="00587738" w:rsidRPr="00B239AF" w:rsidRDefault="00587738" w:rsidP="00B239AF">
      <w:pPr>
        <w:autoSpaceDE w:val="0"/>
        <w:autoSpaceDN w:val="0"/>
        <w:adjustRightInd w:val="0"/>
        <w:ind w:firstLine="709"/>
        <w:jc w:val="both"/>
        <w:rPr>
          <w:rStyle w:val="apple-converted-space"/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lastRenderedPageBreak/>
        <w:t>- «Единый телефон доверия» ГУ МЧС России по Новосибирской области - 8(383) 239-99-99;</w:t>
      </w:r>
    </w:p>
    <w:p w:rsidR="00AE17AC" w:rsidRPr="00B239AF" w:rsidRDefault="00AE17AC" w:rsidP="00B239AF">
      <w:pPr>
        <w:pStyle w:val="Standard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F90EB7" w:rsidRPr="00B239AF" w:rsidRDefault="009979CD" w:rsidP="00B239AF">
      <w:pPr>
        <w:jc w:val="right"/>
        <w:rPr>
          <w:rFonts w:ascii="Segoe UI" w:eastAsia="Quattrocento Sans" w:hAnsi="Segoe UI" w:cs="Segoe UI"/>
          <w:b/>
          <w:i/>
          <w:color w:val="000000"/>
          <w:sz w:val="22"/>
          <w:szCs w:val="22"/>
        </w:rPr>
      </w:pPr>
      <w:r w:rsidRPr="00B239AF">
        <w:rPr>
          <w:rFonts w:ascii="Segoe UI" w:eastAsia="Quattrocento Sans" w:hAnsi="Segoe UI" w:cs="Segoe UI"/>
          <w:b/>
          <w:i/>
          <w:color w:val="000000"/>
          <w:sz w:val="22"/>
          <w:szCs w:val="22"/>
        </w:rPr>
        <w:t xml:space="preserve">материал подготовлен Управлением Росреестра </w:t>
      </w:r>
    </w:p>
    <w:p w:rsidR="00F90EB7" w:rsidRPr="00B239AF" w:rsidRDefault="009979CD" w:rsidP="00B239AF">
      <w:pPr>
        <w:jc w:val="right"/>
        <w:rPr>
          <w:rFonts w:ascii="Segoe UI" w:eastAsia="Quattrocento Sans" w:hAnsi="Segoe UI" w:cs="Segoe UI"/>
          <w:b/>
          <w:i/>
          <w:color w:val="000000"/>
          <w:sz w:val="22"/>
          <w:szCs w:val="22"/>
        </w:rPr>
      </w:pPr>
      <w:r w:rsidRPr="00B239AF">
        <w:rPr>
          <w:rFonts w:ascii="Segoe UI" w:eastAsia="Quattrocento Sans" w:hAnsi="Segoe UI" w:cs="Segoe UI"/>
          <w:b/>
          <w:i/>
          <w:color w:val="000000"/>
          <w:sz w:val="22"/>
          <w:szCs w:val="22"/>
        </w:rPr>
        <w:t xml:space="preserve">по Новосибирской области </w:t>
      </w:r>
    </w:p>
    <w:p w:rsidR="00F90EB7" w:rsidRPr="00B239AF" w:rsidRDefault="00931236" w:rsidP="00B239AF">
      <w:pPr>
        <w:jc w:val="right"/>
        <w:rPr>
          <w:rFonts w:ascii="Segoe UI" w:hAnsi="Segoe UI" w:cs="Segoe UI"/>
          <w:b/>
          <w:bCs/>
          <w:i/>
          <w:iCs/>
          <w:color w:val="0070C0"/>
          <w:sz w:val="22"/>
          <w:szCs w:val="22"/>
        </w:rPr>
      </w:pPr>
      <w:r w:rsidRPr="00B239AF">
        <w:rPr>
          <w:noProof/>
          <w:sz w:val="22"/>
          <w:szCs w:val="22"/>
        </w:rPr>
        <w:pict>
          <v:shape 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F90EB7" w:rsidRPr="00B239AF" w:rsidRDefault="009979CD" w:rsidP="00B239AF">
      <w:pPr>
        <w:jc w:val="both"/>
        <w:rPr>
          <w:rFonts w:ascii="Segoe UI" w:hAnsi="Segoe UI" w:cs="Segoe UI"/>
          <w:b/>
          <w:bCs/>
          <w:sz w:val="22"/>
          <w:szCs w:val="22"/>
        </w:rPr>
      </w:pPr>
      <w:r w:rsidRPr="00B239AF">
        <w:rPr>
          <w:rFonts w:ascii="Segoe UI" w:hAnsi="Segoe UI" w:cs="Segoe UI"/>
          <w:b/>
          <w:bCs/>
          <w:sz w:val="22"/>
          <w:szCs w:val="22"/>
        </w:rPr>
        <w:t>Об Управлении Росреестра по Новосибирской области</w:t>
      </w:r>
    </w:p>
    <w:p w:rsidR="00F90EB7" w:rsidRPr="00B239AF" w:rsidRDefault="009979CD" w:rsidP="00B239AF">
      <w:pPr>
        <w:jc w:val="both"/>
        <w:rPr>
          <w:rFonts w:ascii="Segoe UI" w:hAnsi="Segoe UI" w:cs="Segoe UI"/>
          <w:b/>
          <w:bCs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</w:t>
      </w:r>
      <w:bookmarkStart w:id="0" w:name="_GoBack"/>
      <w:bookmarkEnd w:id="0"/>
      <w:r w:rsidRPr="00B239AF">
        <w:rPr>
          <w:rFonts w:ascii="Segoe UI" w:hAnsi="Segoe UI" w:cs="Segoe UI"/>
          <w:sz w:val="22"/>
          <w:szCs w:val="22"/>
        </w:rPr>
        <w:t xml:space="preserve">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B239AF">
        <w:rPr>
          <w:rFonts w:ascii="Segoe UI" w:hAnsi="Segoe UI" w:cs="Segoe UI"/>
          <w:sz w:val="22"/>
          <w:szCs w:val="22"/>
        </w:rPr>
        <w:t>Рягузова</w:t>
      </w:r>
      <w:proofErr w:type="spellEnd"/>
      <w:r w:rsidRPr="00B239AF">
        <w:rPr>
          <w:rFonts w:ascii="Segoe UI" w:hAnsi="Segoe UI" w:cs="Segoe UI"/>
          <w:sz w:val="22"/>
          <w:szCs w:val="22"/>
        </w:rPr>
        <w:t>.</w:t>
      </w:r>
    </w:p>
    <w:p w:rsidR="00F90EB7" w:rsidRPr="00B239AF" w:rsidRDefault="00F90EB7" w:rsidP="00B239AF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22"/>
          <w:szCs w:val="22"/>
        </w:rPr>
      </w:pPr>
    </w:p>
    <w:p w:rsidR="00F90EB7" w:rsidRPr="00B239AF" w:rsidRDefault="009979CD" w:rsidP="00B239AF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22"/>
          <w:szCs w:val="22"/>
        </w:rPr>
      </w:pPr>
      <w:r w:rsidRPr="00B239AF">
        <w:rPr>
          <w:rFonts w:ascii="Segoe UI" w:hAnsi="Segoe UI" w:cs="Segoe UI"/>
          <w:b/>
          <w:color w:val="000000"/>
          <w:sz w:val="22"/>
          <w:szCs w:val="22"/>
        </w:rPr>
        <w:t>Контакты для СМИ:</w:t>
      </w:r>
    </w:p>
    <w:p w:rsidR="00F90EB7" w:rsidRPr="00B239AF" w:rsidRDefault="009979CD" w:rsidP="00B239AF">
      <w:pPr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Управление Росреестра по Новосибирской области</w:t>
      </w:r>
    </w:p>
    <w:p w:rsidR="00F90EB7" w:rsidRPr="00B239AF" w:rsidRDefault="009979CD" w:rsidP="00B239AF">
      <w:pPr>
        <w:jc w:val="both"/>
        <w:rPr>
          <w:rFonts w:ascii="Segoe UI" w:hAnsi="Segoe UI" w:cs="Segoe UI"/>
          <w:sz w:val="22"/>
          <w:szCs w:val="22"/>
        </w:rPr>
      </w:pPr>
      <w:r w:rsidRPr="00B239AF">
        <w:rPr>
          <w:rFonts w:ascii="Segoe UI" w:hAnsi="Segoe UI" w:cs="Segoe UI"/>
          <w:sz w:val="22"/>
          <w:szCs w:val="22"/>
        </w:rPr>
        <w:t>630091, г. Новосибирск, ул. Державина, д. 28</w:t>
      </w:r>
    </w:p>
    <w:p w:rsidR="00F90EB7" w:rsidRPr="00B239AF" w:rsidRDefault="009979CD" w:rsidP="00B239AF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B239AF">
        <w:rPr>
          <w:rFonts w:ascii="Segoe UI" w:hAnsi="Segoe UI" w:cs="Segoe UI"/>
          <w:color w:val="000000"/>
          <w:sz w:val="22"/>
          <w:szCs w:val="22"/>
        </w:rPr>
        <w:t xml:space="preserve">Электронная почта: </w:t>
      </w:r>
    </w:p>
    <w:p w:rsidR="00F90EB7" w:rsidRPr="00B239AF" w:rsidRDefault="00931236" w:rsidP="00B239AF">
      <w:pPr>
        <w:jc w:val="both"/>
        <w:rPr>
          <w:rFonts w:ascii="Segoe UI" w:hAnsi="Segoe UI" w:cs="Segoe UI"/>
          <w:color w:val="000000"/>
          <w:sz w:val="22"/>
          <w:szCs w:val="22"/>
        </w:rPr>
      </w:pPr>
      <w:hyperlink r:id="rId8" w:history="1">
        <w:r w:rsidR="009979CD" w:rsidRPr="00B239AF">
          <w:rPr>
            <w:rStyle w:val="af1"/>
            <w:rFonts w:ascii="Segoe UI" w:hAnsi="Segoe UI" w:cs="Segoe UI"/>
            <w:sz w:val="22"/>
            <w:szCs w:val="22"/>
            <w:lang w:val="en-US"/>
          </w:rPr>
          <w:t>oko</w:t>
        </w:r>
        <w:r w:rsidR="009979CD" w:rsidRPr="00B239AF">
          <w:rPr>
            <w:rStyle w:val="af1"/>
            <w:rFonts w:ascii="Segoe UI" w:hAnsi="Segoe UI" w:cs="Segoe UI"/>
            <w:sz w:val="22"/>
            <w:szCs w:val="22"/>
          </w:rPr>
          <w:t>@</w:t>
        </w:r>
        <w:r w:rsidR="009979CD" w:rsidRPr="00B239AF">
          <w:rPr>
            <w:rStyle w:val="af1"/>
            <w:rFonts w:ascii="Segoe UI" w:hAnsi="Segoe UI" w:cs="Segoe UI"/>
            <w:sz w:val="22"/>
            <w:szCs w:val="22"/>
            <w:lang w:val="en-US"/>
          </w:rPr>
          <w:t>r</w:t>
        </w:r>
        <w:r w:rsidR="009979CD" w:rsidRPr="00B239AF">
          <w:rPr>
            <w:rStyle w:val="af1"/>
            <w:rFonts w:ascii="Segoe UI" w:hAnsi="Segoe UI" w:cs="Segoe UI"/>
            <w:sz w:val="22"/>
            <w:szCs w:val="22"/>
          </w:rPr>
          <w:t>54.</w:t>
        </w:r>
        <w:r w:rsidR="009979CD" w:rsidRPr="00B239AF">
          <w:rPr>
            <w:rStyle w:val="af1"/>
            <w:rFonts w:ascii="Segoe UI" w:hAnsi="Segoe UI" w:cs="Segoe UI"/>
            <w:sz w:val="22"/>
            <w:szCs w:val="22"/>
            <w:lang w:val="en-US"/>
          </w:rPr>
          <w:t>rosreestr</w:t>
        </w:r>
        <w:r w:rsidR="009979CD" w:rsidRPr="00B239AF">
          <w:rPr>
            <w:rStyle w:val="af1"/>
            <w:rFonts w:ascii="Segoe UI" w:hAnsi="Segoe UI" w:cs="Segoe UI"/>
            <w:sz w:val="22"/>
            <w:szCs w:val="22"/>
          </w:rPr>
          <w:t>.</w:t>
        </w:r>
        <w:proofErr w:type="spellStart"/>
        <w:r w:rsidR="009979CD" w:rsidRPr="00B239AF">
          <w:rPr>
            <w:rStyle w:val="af1"/>
            <w:rFonts w:ascii="Segoe UI" w:hAnsi="Segoe UI" w:cs="Segoe UI"/>
            <w:sz w:val="22"/>
            <w:szCs w:val="22"/>
            <w:lang w:val="en-US"/>
          </w:rPr>
          <w:t>ru</w:t>
        </w:r>
        <w:proofErr w:type="spellEnd"/>
      </w:hyperlink>
      <w:r w:rsidR="009979CD" w:rsidRPr="00B239AF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:rsidR="00F90EB7" w:rsidRPr="00B239AF" w:rsidRDefault="009979CD" w:rsidP="00B239AF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B239AF">
        <w:rPr>
          <w:rFonts w:ascii="Segoe UI" w:hAnsi="Segoe UI" w:cs="Segoe UI"/>
          <w:color w:val="000000"/>
          <w:sz w:val="22"/>
          <w:szCs w:val="22"/>
        </w:rPr>
        <w:t xml:space="preserve">Сайт: </w:t>
      </w:r>
      <w:hyperlink r:id="rId9" w:history="1">
        <w:r w:rsidRPr="00B239AF">
          <w:rPr>
            <w:rFonts w:ascii="Segoe UI" w:hAnsi="Segoe UI" w:cs="Segoe UI"/>
            <w:color w:val="0000FF"/>
            <w:sz w:val="22"/>
            <w:szCs w:val="22"/>
            <w:u w:val="single"/>
          </w:rPr>
          <w:t>Росреестр</w:t>
        </w:r>
      </w:hyperlink>
    </w:p>
    <w:p w:rsidR="00F90EB7" w:rsidRPr="00B239AF" w:rsidRDefault="009979CD" w:rsidP="00B239AF">
      <w:pPr>
        <w:jc w:val="both"/>
        <w:rPr>
          <w:sz w:val="22"/>
          <w:szCs w:val="22"/>
        </w:rPr>
      </w:pPr>
      <w:r w:rsidRPr="00B239AF">
        <w:rPr>
          <w:rFonts w:ascii="Segoe UI" w:hAnsi="Segoe UI" w:cs="Segoe UI"/>
          <w:color w:val="000000"/>
          <w:sz w:val="22"/>
          <w:szCs w:val="22"/>
        </w:rPr>
        <w:t xml:space="preserve">Соцсети: </w:t>
      </w:r>
      <w:hyperlink r:id="rId10" w:history="1">
        <w:proofErr w:type="spellStart"/>
        <w:r w:rsidRPr="00B239AF">
          <w:rPr>
            <w:rFonts w:ascii="Segoe UI" w:hAnsi="Segoe UI" w:cs="Segoe UI"/>
            <w:color w:val="0000FF"/>
            <w:sz w:val="22"/>
            <w:szCs w:val="22"/>
            <w:u w:val="single"/>
          </w:rPr>
          <w:t>ВКонтакте</w:t>
        </w:r>
        <w:proofErr w:type="spellEnd"/>
      </w:hyperlink>
      <w:r w:rsidRPr="00B239AF">
        <w:rPr>
          <w:rFonts w:ascii="Segoe UI" w:hAnsi="Segoe UI" w:cs="Segoe UI"/>
          <w:color w:val="000000"/>
          <w:sz w:val="22"/>
          <w:szCs w:val="22"/>
        </w:rPr>
        <w:t xml:space="preserve">, </w:t>
      </w:r>
      <w:hyperlink r:id="rId11" w:history="1">
        <w:r w:rsidRPr="00B239AF">
          <w:rPr>
            <w:rStyle w:val="af1"/>
            <w:rFonts w:ascii="Segoe UI" w:hAnsi="Segoe UI" w:cs="Segoe UI"/>
            <w:sz w:val="22"/>
            <w:szCs w:val="22"/>
          </w:rPr>
          <w:t>Одноклассники</w:t>
        </w:r>
      </w:hyperlink>
      <w:r w:rsidRPr="00B239AF">
        <w:rPr>
          <w:rStyle w:val="af1"/>
          <w:rFonts w:ascii="Segoe UI" w:hAnsi="Segoe UI" w:cs="Segoe UI"/>
          <w:sz w:val="22"/>
          <w:szCs w:val="22"/>
        </w:rPr>
        <w:t xml:space="preserve">, </w:t>
      </w:r>
      <w:hyperlink r:id="rId12" w:history="1">
        <w:proofErr w:type="spellStart"/>
        <w:r w:rsidRPr="00B239AF">
          <w:rPr>
            <w:rStyle w:val="af1"/>
            <w:rFonts w:ascii="Segoe UI" w:hAnsi="Segoe UI" w:cs="Segoe UI"/>
            <w:sz w:val="22"/>
            <w:szCs w:val="22"/>
          </w:rPr>
          <w:t>Яндекс.Дзен</w:t>
        </w:r>
        <w:proofErr w:type="spellEnd"/>
      </w:hyperlink>
      <w:r w:rsidRPr="00B239AF">
        <w:rPr>
          <w:rStyle w:val="af1"/>
          <w:rFonts w:ascii="Segoe UI" w:hAnsi="Segoe UI" w:cs="Segoe UI"/>
          <w:sz w:val="22"/>
          <w:szCs w:val="22"/>
        </w:rPr>
        <w:t xml:space="preserve">, </w:t>
      </w:r>
      <w:hyperlink r:id="rId13" w:history="1">
        <w:proofErr w:type="spellStart"/>
        <w:r w:rsidRPr="00B239AF">
          <w:rPr>
            <w:rStyle w:val="af1"/>
            <w:rFonts w:ascii="Segoe UI" w:hAnsi="Segoe UI" w:cs="Segoe UI"/>
            <w:sz w:val="22"/>
            <w:szCs w:val="22"/>
          </w:rPr>
          <w:t>Телеграм</w:t>
        </w:r>
        <w:proofErr w:type="spellEnd"/>
      </w:hyperlink>
    </w:p>
    <w:p w:rsidR="00B239AF" w:rsidRPr="00B239AF" w:rsidRDefault="00B239AF">
      <w:pPr>
        <w:jc w:val="both"/>
        <w:rPr>
          <w:sz w:val="22"/>
          <w:szCs w:val="22"/>
        </w:rPr>
      </w:pPr>
    </w:p>
    <w:sectPr w:rsidR="00B239AF" w:rsidRPr="00B239AF" w:rsidSect="00B239A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236" w:rsidRDefault="00931236">
      <w:r>
        <w:separator/>
      </w:r>
    </w:p>
  </w:endnote>
  <w:endnote w:type="continuationSeparator" w:id="0">
    <w:p w:rsidR="00931236" w:rsidRDefault="0093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236" w:rsidRDefault="00931236">
      <w:r>
        <w:separator/>
      </w:r>
    </w:p>
  </w:footnote>
  <w:footnote w:type="continuationSeparator" w:id="0">
    <w:p w:rsidR="00931236" w:rsidRDefault="0093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5FF4"/>
    <w:multiLevelType w:val="hybridMultilevel"/>
    <w:tmpl w:val="A2369762"/>
    <w:lvl w:ilvl="0" w:tplc="FB42B4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2CEE49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E4A889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3CF2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2AAE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08886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040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F2D0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EA65B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00F4ACF"/>
    <w:multiLevelType w:val="hybridMultilevel"/>
    <w:tmpl w:val="7DC437E8"/>
    <w:lvl w:ilvl="0" w:tplc="0BD8ADF6">
      <w:start w:val="1"/>
      <w:numFmt w:val="decimal"/>
      <w:lvlText w:val="%1."/>
      <w:lvlJc w:val="left"/>
      <w:pPr>
        <w:ind w:left="720" w:hanging="360"/>
      </w:pPr>
    </w:lvl>
    <w:lvl w:ilvl="1" w:tplc="5874B83E">
      <w:start w:val="1"/>
      <w:numFmt w:val="lowerLetter"/>
      <w:lvlText w:val="%2."/>
      <w:lvlJc w:val="left"/>
      <w:pPr>
        <w:ind w:left="1440" w:hanging="360"/>
      </w:pPr>
    </w:lvl>
    <w:lvl w:ilvl="2" w:tplc="C28ADB98">
      <w:start w:val="1"/>
      <w:numFmt w:val="lowerRoman"/>
      <w:lvlText w:val="%3."/>
      <w:lvlJc w:val="right"/>
      <w:pPr>
        <w:ind w:left="2160" w:hanging="180"/>
      </w:pPr>
    </w:lvl>
    <w:lvl w:ilvl="3" w:tplc="070249D2">
      <w:start w:val="1"/>
      <w:numFmt w:val="decimal"/>
      <w:lvlText w:val="%4."/>
      <w:lvlJc w:val="left"/>
      <w:pPr>
        <w:ind w:left="2880" w:hanging="360"/>
      </w:pPr>
    </w:lvl>
    <w:lvl w:ilvl="4" w:tplc="88603D0C">
      <w:start w:val="1"/>
      <w:numFmt w:val="lowerLetter"/>
      <w:lvlText w:val="%5."/>
      <w:lvlJc w:val="left"/>
      <w:pPr>
        <w:ind w:left="3600" w:hanging="360"/>
      </w:pPr>
    </w:lvl>
    <w:lvl w:ilvl="5" w:tplc="528A1268">
      <w:start w:val="1"/>
      <w:numFmt w:val="lowerRoman"/>
      <w:lvlText w:val="%6."/>
      <w:lvlJc w:val="right"/>
      <w:pPr>
        <w:ind w:left="4320" w:hanging="180"/>
      </w:pPr>
    </w:lvl>
    <w:lvl w:ilvl="6" w:tplc="6D58420C">
      <w:start w:val="1"/>
      <w:numFmt w:val="decimal"/>
      <w:lvlText w:val="%7."/>
      <w:lvlJc w:val="left"/>
      <w:pPr>
        <w:ind w:left="5040" w:hanging="360"/>
      </w:pPr>
    </w:lvl>
    <w:lvl w:ilvl="7" w:tplc="4E547430">
      <w:start w:val="1"/>
      <w:numFmt w:val="lowerLetter"/>
      <w:lvlText w:val="%8."/>
      <w:lvlJc w:val="left"/>
      <w:pPr>
        <w:ind w:left="5760" w:hanging="360"/>
      </w:pPr>
    </w:lvl>
    <w:lvl w:ilvl="8" w:tplc="D442600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01CD3"/>
    <w:multiLevelType w:val="hybridMultilevel"/>
    <w:tmpl w:val="12C6825C"/>
    <w:lvl w:ilvl="0" w:tplc="6AE081B4">
      <w:start w:val="1"/>
      <w:numFmt w:val="decimal"/>
      <w:lvlText w:val="%1."/>
      <w:lvlJc w:val="left"/>
      <w:pPr>
        <w:ind w:left="6740" w:hanging="360"/>
      </w:pPr>
    </w:lvl>
    <w:lvl w:ilvl="1" w:tplc="7E74A60A">
      <w:start w:val="1"/>
      <w:numFmt w:val="lowerLetter"/>
      <w:lvlText w:val="%2."/>
      <w:lvlJc w:val="left"/>
      <w:pPr>
        <w:ind w:left="1440" w:hanging="360"/>
      </w:pPr>
    </w:lvl>
    <w:lvl w:ilvl="2" w:tplc="491642FE">
      <w:start w:val="1"/>
      <w:numFmt w:val="lowerRoman"/>
      <w:lvlText w:val="%3."/>
      <w:lvlJc w:val="right"/>
      <w:pPr>
        <w:ind w:left="2160" w:hanging="180"/>
      </w:pPr>
    </w:lvl>
    <w:lvl w:ilvl="3" w:tplc="5B9AB2BE">
      <w:start w:val="1"/>
      <w:numFmt w:val="decimal"/>
      <w:lvlText w:val="%4."/>
      <w:lvlJc w:val="left"/>
      <w:pPr>
        <w:ind w:left="2880" w:hanging="360"/>
      </w:pPr>
    </w:lvl>
    <w:lvl w:ilvl="4" w:tplc="A5F2ACCA">
      <w:start w:val="1"/>
      <w:numFmt w:val="lowerLetter"/>
      <w:lvlText w:val="%5."/>
      <w:lvlJc w:val="left"/>
      <w:pPr>
        <w:ind w:left="3600" w:hanging="360"/>
      </w:pPr>
    </w:lvl>
    <w:lvl w:ilvl="5" w:tplc="77B04038">
      <w:start w:val="1"/>
      <w:numFmt w:val="lowerRoman"/>
      <w:lvlText w:val="%6."/>
      <w:lvlJc w:val="right"/>
      <w:pPr>
        <w:ind w:left="4320" w:hanging="180"/>
      </w:pPr>
    </w:lvl>
    <w:lvl w:ilvl="6" w:tplc="030081BE">
      <w:start w:val="1"/>
      <w:numFmt w:val="decimal"/>
      <w:lvlText w:val="%7."/>
      <w:lvlJc w:val="left"/>
      <w:pPr>
        <w:ind w:left="5040" w:hanging="360"/>
      </w:pPr>
    </w:lvl>
    <w:lvl w:ilvl="7" w:tplc="B5505844">
      <w:start w:val="1"/>
      <w:numFmt w:val="lowerLetter"/>
      <w:lvlText w:val="%8."/>
      <w:lvlJc w:val="left"/>
      <w:pPr>
        <w:ind w:left="5760" w:hanging="360"/>
      </w:pPr>
    </w:lvl>
    <w:lvl w:ilvl="8" w:tplc="81FABB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F7EE8"/>
    <w:multiLevelType w:val="hybridMultilevel"/>
    <w:tmpl w:val="C3EE37E6"/>
    <w:lvl w:ilvl="0" w:tplc="F1B2B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22254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74B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14E3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D46E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4812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246D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8283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78C7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5F806EDC"/>
    <w:multiLevelType w:val="hybridMultilevel"/>
    <w:tmpl w:val="96CA42F2"/>
    <w:lvl w:ilvl="0" w:tplc="9B36D232">
      <w:start w:val="1"/>
      <w:numFmt w:val="decimal"/>
      <w:lvlText w:val="%1)"/>
      <w:lvlJc w:val="left"/>
      <w:pPr>
        <w:ind w:left="720" w:hanging="360"/>
      </w:pPr>
    </w:lvl>
    <w:lvl w:ilvl="1" w:tplc="5B928BDC">
      <w:start w:val="1"/>
      <w:numFmt w:val="lowerLetter"/>
      <w:lvlText w:val="%2."/>
      <w:lvlJc w:val="left"/>
      <w:pPr>
        <w:ind w:left="1440" w:hanging="360"/>
      </w:pPr>
    </w:lvl>
    <w:lvl w:ilvl="2" w:tplc="DDEE7A64">
      <w:start w:val="1"/>
      <w:numFmt w:val="lowerRoman"/>
      <w:lvlText w:val="%3."/>
      <w:lvlJc w:val="right"/>
      <w:pPr>
        <w:ind w:left="2160" w:hanging="180"/>
      </w:pPr>
    </w:lvl>
    <w:lvl w:ilvl="3" w:tplc="B946374E">
      <w:start w:val="1"/>
      <w:numFmt w:val="decimal"/>
      <w:lvlText w:val="%4."/>
      <w:lvlJc w:val="left"/>
      <w:pPr>
        <w:ind w:left="2880" w:hanging="360"/>
      </w:pPr>
    </w:lvl>
    <w:lvl w:ilvl="4" w:tplc="049C300C">
      <w:start w:val="1"/>
      <w:numFmt w:val="lowerLetter"/>
      <w:lvlText w:val="%5."/>
      <w:lvlJc w:val="left"/>
      <w:pPr>
        <w:ind w:left="3600" w:hanging="360"/>
      </w:pPr>
    </w:lvl>
    <w:lvl w:ilvl="5" w:tplc="8CCE37A2">
      <w:start w:val="1"/>
      <w:numFmt w:val="lowerRoman"/>
      <w:lvlText w:val="%6."/>
      <w:lvlJc w:val="right"/>
      <w:pPr>
        <w:ind w:left="4320" w:hanging="180"/>
      </w:pPr>
    </w:lvl>
    <w:lvl w:ilvl="6" w:tplc="B5CABE24">
      <w:start w:val="1"/>
      <w:numFmt w:val="decimal"/>
      <w:lvlText w:val="%7."/>
      <w:lvlJc w:val="left"/>
      <w:pPr>
        <w:ind w:left="5040" w:hanging="360"/>
      </w:pPr>
    </w:lvl>
    <w:lvl w:ilvl="7" w:tplc="F31E8DDA">
      <w:start w:val="1"/>
      <w:numFmt w:val="lowerLetter"/>
      <w:lvlText w:val="%8."/>
      <w:lvlJc w:val="left"/>
      <w:pPr>
        <w:ind w:left="5760" w:hanging="360"/>
      </w:pPr>
    </w:lvl>
    <w:lvl w:ilvl="8" w:tplc="8AE867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67C4F"/>
    <w:multiLevelType w:val="hybridMultilevel"/>
    <w:tmpl w:val="5EC88F5A"/>
    <w:lvl w:ilvl="0" w:tplc="E6BC4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7A037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0701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1E619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F2C1B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212EC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3181B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8686A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9BE3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787E573E"/>
    <w:multiLevelType w:val="hybridMultilevel"/>
    <w:tmpl w:val="6A941734"/>
    <w:lvl w:ilvl="0" w:tplc="6B0AF3C6">
      <w:start w:val="1"/>
      <w:numFmt w:val="decimal"/>
      <w:lvlText w:val="%1)"/>
      <w:lvlJc w:val="left"/>
      <w:pPr>
        <w:ind w:left="907" w:hanging="360"/>
      </w:pPr>
    </w:lvl>
    <w:lvl w:ilvl="1" w:tplc="72849636">
      <w:start w:val="1"/>
      <w:numFmt w:val="lowerLetter"/>
      <w:lvlText w:val="%2."/>
      <w:lvlJc w:val="left"/>
      <w:pPr>
        <w:ind w:left="1627" w:hanging="360"/>
      </w:pPr>
    </w:lvl>
    <w:lvl w:ilvl="2" w:tplc="34449DB4">
      <w:start w:val="1"/>
      <w:numFmt w:val="lowerRoman"/>
      <w:lvlText w:val="%3."/>
      <w:lvlJc w:val="right"/>
      <w:pPr>
        <w:ind w:left="2347" w:hanging="180"/>
      </w:pPr>
    </w:lvl>
    <w:lvl w:ilvl="3" w:tplc="8D28B45C">
      <w:start w:val="1"/>
      <w:numFmt w:val="decimal"/>
      <w:lvlText w:val="%4."/>
      <w:lvlJc w:val="left"/>
      <w:pPr>
        <w:ind w:left="3067" w:hanging="360"/>
      </w:pPr>
    </w:lvl>
    <w:lvl w:ilvl="4" w:tplc="9FC85726">
      <w:start w:val="1"/>
      <w:numFmt w:val="lowerLetter"/>
      <w:lvlText w:val="%5."/>
      <w:lvlJc w:val="left"/>
      <w:pPr>
        <w:ind w:left="3787" w:hanging="360"/>
      </w:pPr>
    </w:lvl>
    <w:lvl w:ilvl="5" w:tplc="C480058A">
      <w:start w:val="1"/>
      <w:numFmt w:val="lowerRoman"/>
      <w:lvlText w:val="%6."/>
      <w:lvlJc w:val="right"/>
      <w:pPr>
        <w:ind w:left="4507" w:hanging="180"/>
      </w:pPr>
    </w:lvl>
    <w:lvl w:ilvl="6" w:tplc="E1C4B884">
      <w:start w:val="1"/>
      <w:numFmt w:val="decimal"/>
      <w:lvlText w:val="%7."/>
      <w:lvlJc w:val="left"/>
      <w:pPr>
        <w:ind w:left="5227" w:hanging="360"/>
      </w:pPr>
    </w:lvl>
    <w:lvl w:ilvl="7" w:tplc="10C26056">
      <w:start w:val="1"/>
      <w:numFmt w:val="lowerLetter"/>
      <w:lvlText w:val="%8."/>
      <w:lvlJc w:val="left"/>
      <w:pPr>
        <w:ind w:left="5947" w:hanging="360"/>
      </w:pPr>
    </w:lvl>
    <w:lvl w:ilvl="8" w:tplc="3C12D8AC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7B1D52EF"/>
    <w:multiLevelType w:val="hybridMultilevel"/>
    <w:tmpl w:val="C0249A22"/>
    <w:lvl w:ilvl="0" w:tplc="9FFAD13E">
      <w:start w:val="1"/>
      <w:numFmt w:val="decimal"/>
      <w:lvlText w:val="%1)"/>
      <w:lvlJc w:val="left"/>
      <w:pPr>
        <w:ind w:left="907" w:hanging="360"/>
      </w:pPr>
    </w:lvl>
    <w:lvl w:ilvl="1" w:tplc="EE68BDF0">
      <w:start w:val="1"/>
      <w:numFmt w:val="lowerLetter"/>
      <w:lvlText w:val="%2."/>
      <w:lvlJc w:val="left"/>
      <w:pPr>
        <w:ind w:left="1627" w:hanging="360"/>
      </w:pPr>
    </w:lvl>
    <w:lvl w:ilvl="2" w:tplc="375C321C">
      <w:start w:val="1"/>
      <w:numFmt w:val="lowerRoman"/>
      <w:lvlText w:val="%3."/>
      <w:lvlJc w:val="right"/>
      <w:pPr>
        <w:ind w:left="2347" w:hanging="180"/>
      </w:pPr>
    </w:lvl>
    <w:lvl w:ilvl="3" w:tplc="AEB296B6">
      <w:start w:val="1"/>
      <w:numFmt w:val="decimal"/>
      <w:lvlText w:val="%4."/>
      <w:lvlJc w:val="left"/>
      <w:pPr>
        <w:ind w:left="3067" w:hanging="360"/>
      </w:pPr>
    </w:lvl>
    <w:lvl w:ilvl="4" w:tplc="3C18ACE0">
      <w:start w:val="1"/>
      <w:numFmt w:val="lowerLetter"/>
      <w:lvlText w:val="%5."/>
      <w:lvlJc w:val="left"/>
      <w:pPr>
        <w:ind w:left="3787" w:hanging="360"/>
      </w:pPr>
    </w:lvl>
    <w:lvl w:ilvl="5" w:tplc="BF4C7D60">
      <w:start w:val="1"/>
      <w:numFmt w:val="lowerRoman"/>
      <w:lvlText w:val="%6."/>
      <w:lvlJc w:val="right"/>
      <w:pPr>
        <w:ind w:left="4507" w:hanging="180"/>
      </w:pPr>
    </w:lvl>
    <w:lvl w:ilvl="6" w:tplc="5BA2B674">
      <w:start w:val="1"/>
      <w:numFmt w:val="decimal"/>
      <w:lvlText w:val="%7."/>
      <w:lvlJc w:val="left"/>
      <w:pPr>
        <w:ind w:left="5227" w:hanging="360"/>
      </w:pPr>
    </w:lvl>
    <w:lvl w:ilvl="7" w:tplc="33A22A82">
      <w:start w:val="1"/>
      <w:numFmt w:val="lowerLetter"/>
      <w:lvlText w:val="%8."/>
      <w:lvlJc w:val="left"/>
      <w:pPr>
        <w:ind w:left="5947" w:hanging="360"/>
      </w:pPr>
    </w:lvl>
    <w:lvl w:ilvl="8" w:tplc="2E746AB2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EB7"/>
    <w:rsid w:val="002D1AFD"/>
    <w:rsid w:val="0037011A"/>
    <w:rsid w:val="00587738"/>
    <w:rsid w:val="0065437B"/>
    <w:rsid w:val="00931236"/>
    <w:rsid w:val="009979CD"/>
    <w:rsid w:val="00A50C58"/>
    <w:rsid w:val="00AE17AC"/>
    <w:rsid w:val="00B01A57"/>
    <w:rsid w:val="00B239AF"/>
    <w:rsid w:val="00D30E0C"/>
    <w:rsid w:val="00D326F7"/>
    <w:rsid w:val="00F27B30"/>
    <w:rsid w:val="00F6795B"/>
    <w:rsid w:val="00F90EB7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CF5921"/>
  <w15:docId w15:val="{C51CBCD5-2B1D-4A0C-967F-BA84AF58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uiPriority w:val="22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3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fd"/>
    <w:locked/>
    <w:rsid w:val="005877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2437</Words>
  <Characters>13895</Characters>
  <Application>Microsoft Office Word</Application>
  <DocSecurity>0</DocSecurity>
  <Lines>115</Lines>
  <Paragraphs>32</Paragraphs>
  <ScaleCrop>false</ScaleCrop>
  <Company/>
  <LinksUpToDate>false</LinksUpToDate>
  <CharactersWithSpaces>16300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313</cp:revision>
  <cp:lastPrinted>2025-06-17T04:59:00Z</cp:lastPrinted>
  <dcterms:created xsi:type="dcterms:W3CDTF">2009-04-08T02:19:00Z</dcterms:created>
  <dcterms:modified xsi:type="dcterms:W3CDTF">2025-06-17T04:59:00Z</dcterms:modified>
  <cp:version>917504</cp:version>
</cp:coreProperties>
</file>